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2F290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微软雅黑" w:hAnsi="微软雅黑" w:eastAsia="微软雅黑" w:cs="微软雅黑"/>
          <w:b w:val="0"/>
          <w:bCs/>
          <w:snapToGrid/>
          <w:color w:val="auto"/>
          <w:kern w:val="2"/>
          <w:sz w:val="30"/>
          <w:szCs w:val="30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/>
          <w:snapToGrid/>
          <w:color w:val="auto"/>
          <w:kern w:val="2"/>
          <w:sz w:val="30"/>
          <w:szCs w:val="30"/>
          <w:highlight w:val="none"/>
          <w:lang w:val="en-US" w:eastAsia="zh-CN"/>
        </w:rPr>
        <w:t>四川</w:t>
      </w:r>
      <w:r>
        <w:rPr>
          <w:rFonts w:hint="eastAsia" w:ascii="微软雅黑" w:hAnsi="微软雅黑" w:eastAsia="微软雅黑" w:cs="微软雅黑"/>
          <w:b w:val="0"/>
          <w:bCs/>
          <w:snapToGrid/>
          <w:color w:val="auto"/>
          <w:kern w:val="2"/>
          <w:sz w:val="30"/>
          <w:szCs w:val="30"/>
          <w:highlight w:val="none"/>
          <w:lang w:eastAsia="zh-CN"/>
        </w:rPr>
        <w:t>省职业院校技能大赛</w:t>
      </w:r>
      <w:bookmarkStart w:id="0" w:name="_GoBack"/>
      <w:bookmarkEnd w:id="0"/>
    </w:p>
    <w:p w14:paraId="77CFD29F"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hint="eastAsia" w:ascii="微软雅黑" w:hAnsi="微软雅黑" w:eastAsia="微软雅黑" w:cs="微软雅黑"/>
          <w:b w:val="0"/>
          <w:bCs/>
          <w:snapToGrid/>
          <w:color w:val="auto"/>
          <w:kern w:val="2"/>
          <w:sz w:val="30"/>
          <w:szCs w:val="30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b w:val="0"/>
          <w:bCs/>
          <w:snapToGrid/>
          <w:color w:val="auto"/>
          <w:kern w:val="2"/>
          <w:sz w:val="30"/>
          <w:szCs w:val="30"/>
          <w:highlight w:val="none"/>
          <w:lang w:eastAsia="zh-CN"/>
        </w:rPr>
        <w:t>“建设工程数字化计量与计价” 赛项任务书</w:t>
      </w:r>
    </w:p>
    <w:p w14:paraId="68DD0C6F">
      <w:pPr>
        <w:pStyle w:val="3"/>
        <w:spacing w:before="199" w:line="211" w:lineRule="auto"/>
        <w:ind w:left="634"/>
        <w:rPr>
          <w:rFonts w:hint="eastAsia" w:ascii="等线" w:hAnsi="等线" w:eastAsia="等线" w:cs="等线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等线" w:hAnsi="等线" w:eastAsia="等线" w:cs="等线"/>
          <w:b/>
          <w:bCs/>
          <w:snapToGrid/>
          <w:color w:val="auto"/>
          <w:kern w:val="2"/>
          <w:sz w:val="28"/>
          <w:szCs w:val="28"/>
          <w:highlight w:val="none"/>
          <w:lang w:val="en-US" w:eastAsia="zh-CN" w:bidi="ar-SA"/>
        </w:rPr>
        <w:t>模块一 BIM 建模与招标工程量清单编制（总分 ：100 分）</w:t>
      </w:r>
    </w:p>
    <w:p w14:paraId="0AF48A82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80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本模块满分为 100 分 ，占竞赛团体总分权重 50%。 内容包括两部分：建筑与装饰工程BIM建模与招标工程量清单编制、安装工程BIM建模与招标工程量清单编制。比赛形式为团队赛 ，比赛时长为 180 分钟。</w:t>
      </w:r>
    </w:p>
    <w:p w14:paraId="2273CADF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56" w:firstLineChars="200"/>
        <w:textAlignment w:val="baseline"/>
        <w:rPr>
          <w:rFonts w:hint="default"/>
          <w:b/>
          <w:bCs/>
          <w:color w:val="auto"/>
          <w:spacing w:val="-6"/>
          <w:highlight w:val="none"/>
          <w:lang w:val="en-US" w:eastAsia="zh-CN"/>
        </w:rPr>
      </w:pPr>
      <w:r>
        <w:rPr>
          <w:rFonts w:hint="eastAsia"/>
          <w:b/>
          <w:bCs/>
          <w:color w:val="auto"/>
          <w:spacing w:val="-6"/>
          <w:highlight w:val="none"/>
          <w:lang w:val="en-US" w:eastAsia="zh-CN"/>
        </w:rPr>
        <w:t xml:space="preserve"> 第一部分 </w:t>
      </w:r>
      <w:r>
        <w:rPr>
          <w:b/>
          <w:bCs/>
          <w:color w:val="auto"/>
          <w:spacing w:val="-6"/>
          <w:highlight w:val="none"/>
        </w:rPr>
        <w:t>建筑与装饰工程 BIM 建模与招标工程量清单编制（ 70 分）</w:t>
      </w:r>
    </w:p>
    <w:p w14:paraId="0CD9481A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56" w:firstLineChars="200"/>
        <w:textAlignment w:val="baseline"/>
        <w:rPr>
          <w:rFonts w:hint="eastAsia"/>
          <w:color w:val="auto"/>
          <w:spacing w:val="-6"/>
          <w:highlight w:val="none"/>
          <w:lang w:val="en-US" w:eastAsia="zh-CN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下载初始工程和《建筑与装饰工程-工程量清单汇总表》，基于初始工程完成模型创建及工程量清单编制。</w:t>
      </w:r>
    </w:p>
    <w:p w14:paraId="3428E1B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80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说明：初始工程已经对檐高、结构类型、抗震等级、设防烈度、室外地坪相对±0.000标高、楼层设置、混凝土等级、保护层厚度以及钢筋搭接进行了统一设置，不再作修改，其余根据图纸及任务要求自行调整。</w:t>
      </w:r>
    </w:p>
    <w:p w14:paraId="5BA8B15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80" w:firstLineChars="200"/>
        <w:textAlignment w:val="baseline"/>
        <w:rPr>
          <w:rFonts w:hint="default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《建筑与装饰工程-工程量清单汇总表》中的序号和项目编码已填写，不需修改，请自行完善项目编码、项目特征、计量单位和工程量四列内容。</w:t>
      </w:r>
    </w:p>
    <w:p w14:paraId="13784B61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80" w:firstLineChars="200"/>
        <w:textAlignment w:val="baseline"/>
        <w:rPr>
          <w:rFonts w:hint="default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default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建筑施工图与结构施工图柱的平面定位不一致时，以结构施工图为准。</w:t>
      </w:r>
    </w:p>
    <w:p w14:paraId="309604E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80" w:firstLineChars="200"/>
        <w:textAlignment w:val="baseline"/>
        <w:rPr>
          <w:rFonts w:hint="default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所有的混凝土统一为预拌。</w:t>
      </w:r>
    </w:p>
    <w:p w14:paraId="13050CDB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56" w:firstLineChars="200"/>
        <w:textAlignment w:val="baseline"/>
        <w:rPr>
          <w:b/>
          <w:bCs/>
          <w:color w:val="auto"/>
          <w:spacing w:val="-6"/>
          <w:highlight w:val="none"/>
        </w:rPr>
      </w:pPr>
      <w:r>
        <w:rPr>
          <w:b/>
          <w:bCs/>
          <w:color w:val="auto"/>
          <w:spacing w:val="-6"/>
          <w:highlight w:val="none"/>
        </w:rPr>
        <w:t xml:space="preserve">任务 </w:t>
      </w:r>
      <w:r>
        <w:rPr>
          <w:rFonts w:hint="eastAsia"/>
          <w:b/>
          <w:bCs/>
          <w:color w:val="auto"/>
          <w:spacing w:val="-6"/>
          <w:highlight w:val="none"/>
          <w:lang w:val="en-US" w:eastAsia="zh-CN"/>
        </w:rPr>
        <w:t>1</w:t>
      </w:r>
      <w:r>
        <w:rPr>
          <w:b/>
          <w:bCs/>
          <w:color w:val="auto"/>
          <w:spacing w:val="-6"/>
          <w:highlight w:val="none"/>
        </w:rPr>
        <w:t>：BIM 建模与招标工程量清单编制</w:t>
      </w:r>
    </w:p>
    <w:p w14:paraId="4D99C40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440" w:lineRule="exact"/>
        <w:ind w:left="0" w:firstLine="456" w:firstLineChars="200"/>
        <w:textAlignment w:val="baseline"/>
        <w:rPr>
          <w:rFonts w:hint="eastAsia"/>
          <w:color w:val="auto"/>
          <w:spacing w:val="-6"/>
          <w:highlight w:val="none"/>
          <w:lang w:val="en-US" w:eastAsia="zh-CN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根据提供的工程图纸，完成以下工作：</w:t>
      </w:r>
    </w:p>
    <w:p w14:paraId="5D7DA57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56" w:firstLineChars="200"/>
        <w:textAlignment w:val="baseline"/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1.完成基础层筏板基础、独立基础模型及钢筋的创建，并</w:t>
      </w: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完成混凝土基础构件与模板的清单套取和工程量计算（筏板基础不绘制附加箍筋）。</w:t>
      </w:r>
    </w:p>
    <w:p w14:paraId="13930D78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2.完成基础垫层模型的创建，</w:t>
      </w:r>
      <w:r>
        <w:rPr>
          <w:rFonts w:hint="eastAsia"/>
          <w:color w:val="auto"/>
          <w:spacing w:val="-6"/>
          <w:highlight w:val="none"/>
          <w:lang w:val="en-US" w:eastAsia="zh-CN"/>
        </w:rPr>
        <w:t>并</w:t>
      </w: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完成混凝土垫层构件与模板的清单套取和工程量计算。</w:t>
      </w:r>
    </w:p>
    <w:p w14:paraId="309C3F9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default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3.完成全楼矩形柱（含梯柱）模型及钢筋的创建，</w:t>
      </w:r>
      <w:r>
        <w:rPr>
          <w:rFonts w:hint="eastAsia"/>
          <w:color w:val="auto"/>
          <w:spacing w:val="-6"/>
          <w:highlight w:val="none"/>
          <w:lang w:val="en-US" w:eastAsia="zh-CN"/>
        </w:rPr>
        <w:t>并</w:t>
      </w: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完成混凝土柱构件与模板的清单套取和工程量计算（首层梯柱底标高为-0.200）。</w:t>
      </w:r>
    </w:p>
    <w:p w14:paraId="1A66D16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default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4.完成全楼梁模型及钢筋（不含吊筋及附加箍筋）的创建，</w:t>
      </w:r>
      <w:r>
        <w:rPr>
          <w:rFonts w:hint="eastAsia"/>
          <w:color w:val="auto"/>
          <w:spacing w:val="-6"/>
          <w:highlight w:val="none"/>
          <w:lang w:val="en-US" w:eastAsia="zh-CN"/>
        </w:rPr>
        <w:t>并</w:t>
      </w: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完成混凝土梁构件与模板的清单套取和工程量计算。</w:t>
      </w:r>
    </w:p>
    <w:p w14:paraId="41F2028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5.完成全楼板模型及钢筋的创建，</w:t>
      </w:r>
      <w:r>
        <w:rPr>
          <w:rFonts w:hint="eastAsia"/>
          <w:color w:val="auto"/>
          <w:spacing w:val="-6"/>
          <w:highlight w:val="none"/>
          <w:lang w:val="en-US" w:eastAsia="zh-CN"/>
        </w:rPr>
        <w:t>并</w:t>
      </w: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完成混凝土板构件与模板的清单套取和工程量计算。</w:t>
      </w:r>
    </w:p>
    <w:p w14:paraId="2E8ADBF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6.完成第2层直行楼梯模型及钢筋的创建，</w:t>
      </w:r>
      <w:r>
        <w:rPr>
          <w:rFonts w:hint="eastAsia"/>
          <w:color w:val="auto"/>
          <w:spacing w:val="-6"/>
          <w:highlight w:val="none"/>
          <w:lang w:val="en-US" w:eastAsia="zh-CN"/>
        </w:rPr>
        <w:t>并</w:t>
      </w: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完成混凝土楼梯构件与模板的清单套取和工程量计算。</w:t>
      </w:r>
    </w:p>
    <w:p w14:paraId="15DD260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default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7.完成第2层</w:t>
      </w:r>
      <w:r>
        <w:rPr>
          <w:rFonts w:hint="eastAsia"/>
          <w:color w:val="auto"/>
          <w:spacing w:val="-6"/>
          <w:highlight w:val="none"/>
          <w:lang w:val="en-US" w:eastAsia="zh-CN"/>
        </w:rPr>
        <w:t>砌体墙（不考虑墙体拉结筋）模型的创建，并完成清单套取和工程量计算。</w:t>
      </w:r>
    </w:p>
    <w:p w14:paraId="7C1D36F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/>
          <w:color w:val="auto"/>
          <w:spacing w:val="-6"/>
          <w:highlight w:val="none"/>
          <w:lang w:val="en-US" w:eastAsia="zh-CN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8.完成第2层</w:t>
      </w:r>
      <w:r>
        <w:rPr>
          <w:rFonts w:hint="eastAsia"/>
          <w:color w:val="auto"/>
          <w:spacing w:val="-6"/>
          <w:highlight w:val="none"/>
          <w:lang w:val="en-US" w:eastAsia="zh-CN"/>
        </w:rPr>
        <w:t>门、窗模型的创建，并完成清单套取和工程量计算</w:t>
      </w:r>
      <w:r>
        <w:rPr>
          <w:color w:val="auto"/>
          <w:spacing w:val="-7"/>
          <w:highlight w:val="none"/>
        </w:rPr>
        <w:t>（</w:t>
      </w:r>
      <w:r>
        <w:rPr>
          <w:rFonts w:hint="eastAsia"/>
          <w:color w:val="auto"/>
          <w:spacing w:val="-7"/>
          <w:highlight w:val="none"/>
          <w:lang w:val="en-US" w:eastAsia="zh-CN"/>
        </w:rPr>
        <w:t>门窗的</w:t>
      </w:r>
      <w:r>
        <w:rPr>
          <w:color w:val="auto"/>
          <w:spacing w:val="-7"/>
          <w:highlight w:val="none"/>
        </w:rPr>
        <w:t>计量单位为“</w:t>
      </w:r>
      <w:r>
        <w:rPr>
          <w:rFonts w:hint="eastAsia"/>
          <w:color w:val="auto"/>
          <w:spacing w:val="-7"/>
          <w:highlight w:val="none"/>
          <w:lang w:val="en-US" w:eastAsia="zh-CN"/>
        </w:rPr>
        <w:t>m2</w:t>
      </w:r>
      <w:r>
        <w:rPr>
          <w:color w:val="auto"/>
          <w:spacing w:val="-89"/>
          <w:highlight w:val="none"/>
        </w:rPr>
        <w:t xml:space="preserve"> </w:t>
      </w:r>
      <w:r>
        <w:rPr>
          <w:color w:val="auto"/>
          <w:spacing w:val="-7"/>
          <w:highlight w:val="none"/>
        </w:rPr>
        <w:t>”）</w:t>
      </w:r>
      <w:r>
        <w:rPr>
          <w:rFonts w:hint="eastAsia"/>
          <w:color w:val="auto"/>
          <w:spacing w:val="-6"/>
          <w:highlight w:val="none"/>
          <w:lang w:val="en-US" w:eastAsia="zh-CN"/>
        </w:rPr>
        <w:t>。</w:t>
      </w:r>
    </w:p>
    <w:p w14:paraId="6BA94E6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default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9.完成第2层活动室、卫生间、盥洗室、衣帽间楼面、踢脚线装饰模型的创建，并完成清单套取和工程量的计算（盥洗室做法同卫生间，衣帽间做法同办公室）。</w:t>
      </w:r>
    </w:p>
    <w:p w14:paraId="0C9E9B0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239" w:leftChars="114" w:firstLine="240" w:firstLineChars="100"/>
        <w:textAlignment w:val="baseline"/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10.完成第2层活动室、卫生间、盥洗室、衣帽间内墙面装饰模型的创建，并</w:t>
      </w:r>
    </w:p>
    <w:p w14:paraId="51E1097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完成清单套取和工程量的计算（盥洗室做法同卫生间，衣帽间做法同办公室）。</w:t>
      </w:r>
    </w:p>
    <w:p w14:paraId="4C3A103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default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11.完成第2层活动室、卫生间、盥洗室、衣帽间天棚装饰模型的创建，并完成清单套取和工程量的计算（盥洗室做法同卫生间，衣帽间做法同办公室）。</w:t>
      </w:r>
    </w:p>
    <w:p w14:paraId="53FA9D9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76" w:firstLineChars="200"/>
        <w:textAlignment w:val="baseline"/>
        <w:rPr>
          <w:rFonts w:hint="eastAsia" w:cstheme="minorBidi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/>
          <w:color w:val="auto"/>
          <w:spacing w:val="-1"/>
          <w:highlight w:val="none"/>
          <w:lang w:val="en-US" w:eastAsia="zh-CN"/>
        </w:rPr>
        <w:t>12.</w:t>
      </w:r>
      <w:r>
        <w:rPr>
          <w:color w:val="auto"/>
          <w:spacing w:val="-1"/>
          <w:highlight w:val="none"/>
        </w:rPr>
        <w:t>完</w:t>
      </w:r>
      <w:r>
        <w:rPr>
          <w:rFonts w:hint="eastAsia"/>
          <w:color w:val="auto"/>
          <w:spacing w:val="-1"/>
          <w:highlight w:val="none"/>
          <w:lang w:val="en-US" w:eastAsia="zh-CN"/>
        </w:rPr>
        <w:t>成</w:t>
      </w:r>
      <w:r>
        <w:rPr>
          <w:color w:val="auto"/>
          <w:spacing w:val="-1"/>
          <w:highlight w:val="none"/>
        </w:rPr>
        <w:t>上述装修工程范围内防水工程，</w:t>
      </w:r>
      <w:r>
        <w:rPr>
          <w:rFonts w:hint="eastAsia"/>
          <w:color w:val="auto"/>
          <w:spacing w:val="-1"/>
          <w:highlight w:val="none"/>
          <w:lang w:val="en-US" w:eastAsia="zh-CN"/>
        </w:rPr>
        <w:t>并</w:t>
      </w:r>
      <w:r>
        <w:rPr>
          <w:color w:val="auto"/>
          <w:spacing w:val="-1"/>
          <w:highlight w:val="none"/>
        </w:rPr>
        <w:t>完成清单套取和工程量计算。</w:t>
      </w:r>
    </w:p>
    <w:p w14:paraId="151D832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76" w:firstLineChars="200"/>
        <w:textAlignment w:val="baseline"/>
        <w:rPr>
          <w:rFonts w:hint="eastAsia"/>
          <w:color w:val="auto"/>
          <w:spacing w:val="-1"/>
          <w:highlight w:val="none"/>
          <w:lang w:val="en-US" w:eastAsia="zh-CN"/>
        </w:rPr>
      </w:pPr>
      <w:r>
        <w:rPr>
          <w:rFonts w:hint="eastAsia"/>
          <w:color w:val="auto"/>
          <w:spacing w:val="-1"/>
          <w:highlight w:val="none"/>
          <w:lang w:val="en-US" w:eastAsia="zh-CN"/>
        </w:rPr>
        <w:t>13.</w:t>
      </w:r>
      <w:r>
        <w:rPr>
          <w:color w:val="auto"/>
          <w:spacing w:val="-1"/>
          <w:highlight w:val="none"/>
        </w:rPr>
        <w:t>完成上述装修工程范围内</w:t>
      </w:r>
      <w:r>
        <w:rPr>
          <w:rFonts w:hint="eastAsia"/>
          <w:color w:val="auto"/>
          <w:spacing w:val="-1"/>
          <w:highlight w:val="none"/>
          <w:lang w:val="en-US" w:eastAsia="zh-CN"/>
        </w:rPr>
        <w:t>油漆涂料裱糊</w:t>
      </w:r>
      <w:r>
        <w:rPr>
          <w:color w:val="auto"/>
          <w:spacing w:val="-1"/>
          <w:highlight w:val="none"/>
        </w:rPr>
        <w:t>工程，</w:t>
      </w:r>
      <w:r>
        <w:rPr>
          <w:rFonts w:hint="eastAsia"/>
          <w:color w:val="auto"/>
          <w:spacing w:val="-1"/>
          <w:highlight w:val="none"/>
          <w:lang w:val="en-US" w:eastAsia="zh-CN"/>
        </w:rPr>
        <w:t>并</w:t>
      </w:r>
      <w:r>
        <w:rPr>
          <w:color w:val="auto"/>
          <w:spacing w:val="-1"/>
          <w:highlight w:val="none"/>
        </w:rPr>
        <w:t>完成清单套取和工程量计算。</w:t>
      </w:r>
    </w:p>
    <w:p w14:paraId="3487A56F">
      <w:pPr>
        <w:pStyle w:val="3"/>
        <w:spacing w:before="245" w:line="183" w:lineRule="auto"/>
        <w:ind w:left="497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2"/>
          <w:sz w:val="24"/>
          <w:szCs w:val="24"/>
          <w:highlight w:val="none"/>
        </w:rPr>
        <w:t xml:space="preserve">任务 </w:t>
      </w:r>
      <w:r>
        <w:rPr>
          <w:rFonts w:hint="eastAsia" w:cs="微软雅黑"/>
          <w:b/>
          <w:bCs/>
          <w:color w:val="auto"/>
          <w:spacing w:val="-2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bCs/>
          <w:color w:val="auto"/>
          <w:spacing w:val="-2"/>
          <w:sz w:val="24"/>
          <w:szCs w:val="24"/>
          <w:highlight w:val="none"/>
        </w:rPr>
        <w:t>：计算结果输出</w:t>
      </w:r>
    </w:p>
    <w:p w14:paraId="36029F9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56" w:firstLineChars="200"/>
        <w:textAlignment w:val="baseline"/>
        <w:rPr>
          <w:rFonts w:hint="eastAsia"/>
          <w:color w:val="auto"/>
          <w:spacing w:val="-6"/>
          <w:highlight w:val="none"/>
          <w:lang w:val="en-US" w:eastAsia="zh-CN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1.检查、校对算量模型和编制的工程量清单。</w:t>
      </w:r>
    </w:p>
    <w:p w14:paraId="3471247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56" w:firstLineChars="200"/>
        <w:textAlignment w:val="baseline"/>
        <w:rPr>
          <w:rFonts w:hint="eastAsia" w:eastAsia="微软雅黑"/>
          <w:color w:val="auto"/>
          <w:spacing w:val="-6"/>
          <w:highlight w:val="none"/>
          <w:lang w:val="en-US" w:eastAsia="zh-CN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2.汇总计算，形成任务1中对应的建筑与装饰工程量清单（含钢筋工程）</w:t>
      </w:r>
      <w:r>
        <w:rPr>
          <w:rFonts w:hint="eastAsia"/>
          <w:color w:val="auto"/>
          <w:spacing w:val="-3"/>
          <w:highlight w:val="none"/>
          <w:lang w:eastAsia="zh-CN"/>
        </w:rPr>
        <w:t>。</w:t>
      </w:r>
    </w:p>
    <w:p w14:paraId="275D7F7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72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pacing w:val="-2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pacing w:val="-2"/>
          <w:sz w:val="24"/>
          <w:szCs w:val="24"/>
          <w:highlight w:val="none"/>
          <w:lang w:val="en-US" w:eastAsia="zh-CN"/>
        </w:rPr>
        <w:t>任务</w:t>
      </w:r>
      <w:r>
        <w:rPr>
          <w:rFonts w:hint="eastAsia" w:cs="微软雅黑"/>
          <w:b/>
          <w:bCs/>
          <w:color w:val="auto"/>
          <w:spacing w:val="-2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bCs/>
          <w:color w:val="auto"/>
          <w:spacing w:val="-2"/>
          <w:sz w:val="24"/>
          <w:szCs w:val="24"/>
          <w:highlight w:val="none"/>
          <w:lang w:val="en-US" w:eastAsia="zh-CN"/>
        </w:rPr>
        <w:t>：成果文件提交</w:t>
      </w:r>
    </w:p>
    <w:p w14:paraId="5B428F6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56" w:firstLineChars="200"/>
        <w:textAlignment w:val="baseline"/>
        <w:rPr>
          <w:rFonts w:hint="eastAsia"/>
          <w:color w:val="auto"/>
          <w:spacing w:val="-6"/>
          <w:highlight w:val="none"/>
          <w:lang w:val="en-US" w:eastAsia="zh-CN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将完成的所有成果保存在“赛项模块一 建筑与装饰工程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-第X组（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抽签组号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）</w:t>
      </w:r>
      <w:r>
        <w:rPr>
          <w:rFonts w:hint="eastAsia"/>
          <w:color w:val="auto"/>
          <w:spacing w:val="-6"/>
          <w:highlight w:val="none"/>
          <w:lang w:val="en-US" w:eastAsia="zh-CN"/>
        </w:rPr>
        <w:t>”文件夹内 ，文件夹内包含 2 个文件 ，文件名按以下规定命名 ：</w:t>
      </w:r>
    </w:p>
    <w:p w14:paraId="04E94CF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56" w:firstLineChars="200"/>
        <w:textAlignment w:val="baseline"/>
        <w:rPr>
          <w:rFonts w:hint="eastAsia"/>
          <w:color w:val="auto"/>
          <w:spacing w:val="-6"/>
          <w:highlight w:val="none"/>
          <w:lang w:val="en-US" w:eastAsia="zh-CN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1-1 建筑与装饰工程-模型-第 X 组（算量软件格式）</w:t>
      </w:r>
    </w:p>
    <w:p w14:paraId="5AFA3BD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56" w:firstLineChars="200"/>
        <w:textAlignment w:val="baseline"/>
        <w:rPr>
          <w:rFonts w:hint="eastAsia"/>
          <w:color w:val="auto"/>
          <w:spacing w:val="-6"/>
          <w:highlight w:val="none"/>
          <w:lang w:val="en-US" w:eastAsia="zh-CN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 xml:space="preserve">1-2 建筑与装饰工程-工程量清单汇总表-第 X 组（ PDF 格式） </w:t>
      </w:r>
    </w:p>
    <w:p w14:paraId="7AA655A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72" w:firstLineChars="200"/>
        <w:textAlignment w:val="baseline"/>
        <w:rPr>
          <w:color w:val="auto"/>
          <w:spacing w:val="-2"/>
          <w:highlight w:val="none"/>
        </w:rPr>
      </w:pPr>
    </w:p>
    <w:p w14:paraId="3AA87B17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56" w:firstLineChars="200"/>
        <w:textAlignment w:val="baseline"/>
        <w:rPr>
          <w:rFonts w:hint="eastAsia"/>
          <w:b/>
          <w:bCs/>
          <w:color w:val="auto"/>
          <w:spacing w:val="-6"/>
          <w:highlight w:val="none"/>
          <w:lang w:val="en-US" w:eastAsia="zh-CN"/>
        </w:rPr>
      </w:pPr>
      <w:r>
        <w:rPr>
          <w:rFonts w:hint="eastAsia"/>
          <w:b/>
          <w:bCs/>
          <w:color w:val="auto"/>
          <w:spacing w:val="-6"/>
          <w:highlight w:val="none"/>
          <w:lang w:val="en-US" w:eastAsia="zh-CN"/>
        </w:rPr>
        <w:t>第二部分 安装工程 BIM 建模与招标工程量清单编制（总分：30分）</w:t>
      </w:r>
    </w:p>
    <w:p w14:paraId="1021B1A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56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下载初始工程和《电气工程-工程量清单汇总表》、《给排水工程-工程量清单汇总表》，基于初始工程完成模型创建及工程量清单编制。</w:t>
      </w:r>
    </w:p>
    <w:p w14:paraId="3D69D966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80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说明：初始工程已经对计算规则、算量模式、楼层设置、计算设置（(1)强电专业：电缴敷设弛度、波形弯度、交叉的预留长度的计算基数选择：电缆长度+预留（附加）长度；(2)给排水专业：排水支管高度计算方式：输入固定计算值，0计算。即不计算板面以上连接卫生器具排水立管预留）进行统一设置，不再作修改，其余根据图纸及任务要求自行调整。</w:t>
      </w:r>
    </w:p>
    <w:p w14:paraId="7B920E0D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80" w:firstLineChars="200"/>
        <w:textAlignment w:val="baseline"/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《电气工程-工程量清单汇总表》、《给排水工程-工程量清单汇总表》中的序号和项目编码已填写，不需修改，请自行完善项目编码、项目特征、计量单位和工程量四列内容。</w:t>
      </w:r>
    </w:p>
    <w:p w14:paraId="24AD11E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80" w:firstLineChars="200"/>
        <w:textAlignment w:val="baseline"/>
        <w:rPr>
          <w:rFonts w:hint="eastAsia"/>
          <w:b/>
          <w:bCs/>
          <w:color w:val="auto"/>
          <w:spacing w:val="-2"/>
          <w:position w:val="25"/>
          <w:highlight w:val="none"/>
          <w:lang w:val="en-US" w:eastAsia="zh-CN"/>
        </w:rPr>
      </w:pPr>
      <w:r>
        <w:rPr>
          <w:rFonts w:hint="eastAsia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水平管线的长度计算至点式构件中线</w:t>
      </w:r>
      <w:r>
        <w:rPr>
          <w:rFonts w:hint="default" w:ascii="仿宋" w:hAnsi="仿宋" w:eastAsia="仿宋" w:cs="仿宋"/>
          <w:snapToGrid/>
          <w:color w:val="auto"/>
          <w:kern w:val="2"/>
          <w:sz w:val="24"/>
          <w:szCs w:val="24"/>
          <w:highlight w:val="none"/>
          <w:lang w:val="en-US" w:eastAsia="zh-CN" w:bidi="ar-SA"/>
        </w:rPr>
        <w:t>。</w:t>
      </w:r>
    </w:p>
    <w:p w14:paraId="2B0ADD5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72" w:firstLineChars="200"/>
        <w:textAlignment w:val="baseline"/>
        <w:rPr>
          <w:rFonts w:hint="eastAsia"/>
          <w:b/>
          <w:bCs/>
          <w:color w:val="auto"/>
          <w:spacing w:val="-2"/>
          <w:highlight w:val="none"/>
          <w:lang w:val="en-US" w:eastAsia="zh-CN"/>
        </w:rPr>
      </w:pPr>
      <w:r>
        <w:rPr>
          <w:rFonts w:hint="eastAsia"/>
          <w:b/>
          <w:bCs/>
          <w:color w:val="auto"/>
          <w:spacing w:val="-2"/>
          <w:highlight w:val="none"/>
        </w:rPr>
        <w:t>任务1：</w:t>
      </w:r>
      <w:r>
        <w:rPr>
          <w:rFonts w:hint="eastAsia"/>
          <w:b/>
          <w:bCs/>
          <w:color w:val="auto"/>
          <w:spacing w:val="-2"/>
          <w:highlight w:val="none"/>
          <w:lang w:val="en-US" w:eastAsia="zh-CN"/>
        </w:rPr>
        <w:t>电气工程BIM</w:t>
      </w:r>
      <w:r>
        <w:rPr>
          <w:b/>
          <w:bCs/>
          <w:color w:val="auto"/>
          <w:spacing w:val="-6"/>
          <w:highlight w:val="none"/>
        </w:rPr>
        <w:t>建模与招标工程量清单编制</w:t>
      </w:r>
    </w:p>
    <w:p w14:paraId="77B2A540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Chars="200"/>
        <w:textAlignment w:val="baseline"/>
        <w:rPr>
          <w:rFonts w:hint="eastAsia"/>
          <w:color w:val="auto"/>
          <w:spacing w:val="-6"/>
          <w:highlight w:val="none"/>
          <w:lang w:val="en-US" w:eastAsia="zh-CN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根据提供的工程图纸，完成以下工作：</w:t>
      </w:r>
    </w:p>
    <w:p w14:paraId="600CCA0F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56" w:firstLineChars="200"/>
        <w:textAlignment w:val="baseline"/>
        <w:rPr>
          <w:rFonts w:hint="eastAsia"/>
          <w:color w:val="auto"/>
          <w:spacing w:val="-6"/>
          <w:highlight w:val="none"/>
          <w:lang w:val="en-US" w:eastAsia="zh-CN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1. 定位分割一层至屋顶层【照明平面图、插座平面图】；利用材料表功能识别材料表中的开关、插座、灯具 建立构件属性(新建灯具单立管，新建排气扇单立管，新建插座多立管，新建开关多立管)。</w:t>
      </w:r>
    </w:p>
    <w:p w14:paraId="12DAEA83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Chars="0" w:firstLine="456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cs="微软雅黑"/>
          <w:color w:val="auto"/>
          <w:spacing w:val="-6"/>
          <w:highlight w:val="none"/>
          <w:lang w:val="en-US" w:eastAsia="zh-CN"/>
        </w:rPr>
        <w:t xml:space="preserve">2. </w:t>
      </w:r>
      <w:r>
        <w:rPr>
          <w:rFonts w:hint="eastAsia" w:ascii="微软雅黑" w:hAnsi="微软雅黑" w:eastAsia="微软雅黑" w:cs="微软雅黑"/>
          <w:color w:val="auto"/>
          <w:spacing w:val="-6"/>
          <w:highlight w:val="none"/>
          <w:lang w:val="en-US" w:eastAsia="zh-CN"/>
        </w:rPr>
        <w:t>完成本工程</w:t>
      </w:r>
      <w:r>
        <w:rPr>
          <w:rFonts w:hint="eastAsia" w:ascii="微软雅黑" w:hAnsi="微软雅黑" w:eastAsia="微软雅黑" w:cs="微软雅黑"/>
          <w:b/>
          <w:bCs/>
          <w:color w:val="auto"/>
          <w:spacing w:val="-6"/>
          <w:highlight w:val="none"/>
          <w:lang w:val="en-US" w:eastAsia="zh-CN"/>
        </w:rPr>
        <w:t>第一层</w:t>
      </w:r>
      <w:r>
        <w:rPr>
          <w:rFonts w:hint="eastAsia" w:ascii="微软雅黑" w:hAnsi="微软雅黑" w:eastAsia="微软雅黑" w:cs="微软雅黑"/>
          <w:color w:val="auto"/>
          <w:spacing w:val="-6"/>
          <w:highlight w:val="none"/>
          <w:lang w:val="en-US" w:eastAsia="zh-CN"/>
        </w:rPr>
        <w:t>【</w:t>
      </w:r>
      <w:r>
        <w:rPr>
          <w:rFonts w:hint="eastAsia" w:ascii="微软雅黑" w:hAnsi="微软雅黑" w:eastAsia="微软雅黑" w:cs="微软雅黑"/>
          <w:b/>
          <w:bCs/>
          <w:color w:val="auto"/>
          <w:spacing w:val="-6"/>
          <w:highlight w:val="none"/>
          <w:lang w:val="en-US" w:eastAsia="zh-CN"/>
        </w:rPr>
        <w:t>架空层照明平面图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】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内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配电箱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val="en-US" w:eastAsia="zh-CN"/>
        </w:rPr>
        <w:t xml:space="preserve"> +1+F1-ALZ1</w:t>
      </w:r>
      <w:r>
        <w:rPr>
          <w:rFonts w:hint="eastAsia" w:cs="微软雅黑"/>
          <w:b/>
          <w:bCs/>
          <w:color w:val="auto"/>
          <w:sz w:val="24"/>
          <w:szCs w:val="24"/>
          <w:highlight w:val="none"/>
          <w:lang w:val="en-US" w:eastAsia="zh-CN"/>
        </w:rPr>
        <w:t>进线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模型的建立，</w:t>
      </w:r>
      <w:r>
        <w:rPr>
          <w:rFonts w:hint="eastAsia" w:ascii="微软雅黑" w:hAnsi="微软雅黑" w:eastAsia="微软雅黑" w:cs="微软雅黑"/>
          <w:snapToGrid w:val="0"/>
          <w:color w:val="auto"/>
          <w:kern w:val="0"/>
          <w:sz w:val="24"/>
          <w:szCs w:val="24"/>
          <w:highlight w:val="none"/>
          <w:lang w:val="en-US" w:eastAsia="zh-CN" w:bidi="ar-SA"/>
        </w:rPr>
        <w:t>配电箱、配管及电缆识别，</w:t>
      </w:r>
      <w:r>
        <w:rPr>
          <w:rFonts w:hint="eastAsia" w:ascii="微软雅黑" w:hAnsi="微软雅黑" w:eastAsia="微软雅黑" w:cs="微软雅黑"/>
          <w:snapToGrid w:val="0"/>
          <w:color w:val="auto"/>
          <w:kern w:val="0"/>
          <w:sz w:val="24"/>
          <w:szCs w:val="24"/>
          <w:highlight w:val="none"/>
          <w:lang w:val="en-US" w:eastAsia="en-US" w:bidi="ar-SA"/>
        </w:rPr>
        <w:t>完成上述模型清单套取和工程量的计算。</w:t>
      </w:r>
      <w:r>
        <w:rPr>
          <w:rFonts w:hint="eastAsia" w:ascii="微软雅黑" w:hAnsi="微软雅黑" w:eastAsia="微软雅黑" w:cs="微软雅黑"/>
          <w:snapToGrid w:val="0"/>
          <w:color w:val="auto"/>
          <w:kern w:val="0"/>
          <w:sz w:val="24"/>
          <w:szCs w:val="24"/>
          <w:highlight w:val="none"/>
          <w:lang w:val="en-US" w:eastAsia="zh-CN" w:bidi="ar-SA"/>
        </w:rPr>
        <w:t>（室外回路部分计算至线端终点，配管清单编制统一按室内电缆管道考虑）</w:t>
      </w:r>
    </w:p>
    <w:p w14:paraId="1CAE95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 xml:space="preserve">3.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完成本工程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第二层【二层照明平面图】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及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【二层干线平面图】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内所有照明灯具（含疏散照明灯具）、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排气扇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开关、插座模型的建立(新建灯具单立管，新建插座多立管，新建开关多立管)。配电箱+1+F2-AL1、AL1-1模型的建立，强电金属线槽模型的建立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水平桥架与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配电箱+1+F2-AL1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顶部需连接竖向桥架，规格同水平桥架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）。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完成上述模型清单套取和工程量的计算。</w:t>
      </w:r>
    </w:p>
    <w:p w14:paraId="7FF44B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 xml:space="preserve">4.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完成本工程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第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val="en-US" w:eastAsia="zh-CN"/>
        </w:rPr>
        <w:t>二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层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下列各回路配管配线的模型建立（管线连接至设备中心点）：</w:t>
      </w:r>
    </w:p>
    <w:p w14:paraId="45A9E3D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（1）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+1+F2-AL1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 xml:space="preserve"> 配电箱 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eastAsia="zh-CN"/>
        </w:rPr>
        <w:t>引出的</w:t>
      </w: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W1~2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回路的管线工程模型的建立，完成上述模型清单套取和工程量的计算。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含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强电金属线槽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内电缆工程量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）</w:t>
      </w:r>
    </w:p>
    <w:p w14:paraId="67565CC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（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eastAsia="zh-CN"/>
        </w:rPr>
        <w:t>）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舞蹈室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AL1-1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配电箱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引出的WL1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~2、WC1~2、WK1~2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回路模型的建立，完成上述模型清单套取和工程量的计算。</w:t>
      </w:r>
    </w:p>
    <w:p w14:paraId="7E275F1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5. 土方、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接线盒、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线缆端头（不套清单项）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、桥架支架及刷油等不计算。</w:t>
      </w:r>
    </w:p>
    <w:p w14:paraId="32C280E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任务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：给排水工程BIM建模</w:t>
      </w:r>
    </w:p>
    <w:p w14:paraId="6AB8182D">
      <w:pPr>
        <w:pStyle w:val="3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/>
          <w:color w:val="auto"/>
          <w:spacing w:val="-6"/>
          <w:highlight w:val="none"/>
          <w:lang w:val="en-US" w:eastAsia="zh-CN"/>
        </w:rPr>
        <w:t>根据提供的工程图纸，完成以下工作：</w:t>
      </w:r>
    </w:p>
    <w:p w14:paraId="1C13671A">
      <w:pPr>
        <w:keepNext w:val="0"/>
        <w:keepLines w:val="0"/>
        <w:pageBreakBefore w:val="0"/>
        <w:widowControl/>
        <w:numPr>
          <w:ilvl w:val="0"/>
          <w:numId w:val="1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定位分割一层至屋顶层【给排水平面图】。</w:t>
      </w:r>
    </w:p>
    <w:p w14:paraId="27D339F5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2.完成本工程【二层2#卫生间给排水平面图】中给排水模型的建立，包含给排水支管、蹲便器、洗手槽、小便器、地漏等洁具）模型的建立（洁具安装高度采用软件默认值，不要求做修改。连接卫生器具的给水管高度按系统图标注标高考虑。），完成上述模型清单套取和工程量的计算。</w:t>
      </w:r>
    </w:p>
    <w:p w14:paraId="0776BEB5">
      <w:pPr>
        <w:pStyle w:val="4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480" w:firstLineChars="200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3.完成本工程排水系统中【WL-1~4】系统模型的建立，完成上述模型清单套取和工程量的计算。（室外管道部分计算至线端终点，从系统图标注底部高度计算至出屋面标注标高。三、四层伸顶通气管吊顶内敷设高度均为层顶标高减0.6m）。</w:t>
      </w:r>
    </w:p>
    <w:p w14:paraId="0A7C4610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4.完成本工程中雨水系统中【YL-1~5、YL-a】系统模型的建立，包含管道及雨水斗。完成上述模型清单套取和工程量的计算。（室外管道部分计算至线端终点）。</w:t>
      </w:r>
    </w:p>
    <w:p w14:paraId="6B45EF95">
      <w:pPr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 w:val="0"/>
          <w:bCs w:val="0"/>
          <w:color w:val="auto"/>
          <w:sz w:val="24"/>
          <w:szCs w:val="24"/>
          <w:highlight w:val="none"/>
          <w:lang w:val="en-US" w:eastAsia="zh-CN"/>
        </w:rPr>
        <w:t>5.管道穿楼板、屋面处套管、刷油、防腐、绝热、支架不计算 ，超高部分管道不用单独列出。给排水专业零星构件（接头）、通头管件不套清单。</w:t>
      </w:r>
    </w:p>
    <w:p w14:paraId="5F7826F9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 xml:space="preserve">任务 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：计算结果输出</w:t>
      </w:r>
    </w:p>
    <w:p w14:paraId="47CBDE81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检查、校对BIM模型和编制的工程量清单。</w:t>
      </w:r>
    </w:p>
    <w:p w14:paraId="6D90559D">
      <w:pPr>
        <w:keepNext w:val="0"/>
        <w:keepLines w:val="0"/>
        <w:pageBreakBefore w:val="0"/>
        <w:widowControl/>
        <w:numPr>
          <w:ilvl w:val="0"/>
          <w:numId w:val="2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leftChars="0"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请编制任务2、任务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中BIM算量模型所提及内容的工程量清单。</w:t>
      </w:r>
    </w:p>
    <w:p w14:paraId="6DA935F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 xml:space="preserve">任务 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b/>
          <w:bCs/>
          <w:color w:val="auto"/>
          <w:sz w:val="24"/>
          <w:szCs w:val="24"/>
          <w:highlight w:val="none"/>
        </w:rPr>
        <w:t>：成果文件提交</w:t>
      </w:r>
    </w:p>
    <w:p w14:paraId="3B8127D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将完成的所有成果保存在“赛项模块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 xml:space="preserve">一 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安装工程-第X组（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抽签组号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）文件夹内</w:t>
      </w:r>
      <w:r>
        <w:rPr>
          <w:rFonts w:hint="eastAsia"/>
          <w:color w:val="auto"/>
          <w:spacing w:val="-6"/>
          <w:highlight w:val="none"/>
          <w:lang w:val="en-US" w:eastAsia="zh-CN"/>
        </w:rPr>
        <w:t>，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文件夹内包含 4 个文件 ，文件名按以下规定名称命名 ：</w:t>
      </w:r>
    </w:p>
    <w:p w14:paraId="296465D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2-1 电气工程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模型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-第 X 组（算量软件格式）</w:t>
      </w:r>
    </w:p>
    <w:p w14:paraId="1B512B1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2-2 电气工程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-工程量清单汇总表-第 X 组（ PDF 格式）</w:t>
      </w:r>
    </w:p>
    <w:p w14:paraId="1121C1C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2-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 xml:space="preserve"> 给排水工程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模型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-第 X 组（算量软件格式）</w:t>
      </w:r>
    </w:p>
    <w:p w14:paraId="104C50A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</w:pP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2-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 xml:space="preserve"> 给排水工程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-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</w:rPr>
        <w:t>工程量清单汇总表</w:t>
      </w:r>
      <w:r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  <w:t>-第 X 组（ PDF 格式）</w:t>
      </w:r>
    </w:p>
    <w:p w14:paraId="4C3B802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</w:pPr>
    </w:p>
    <w:p w14:paraId="7B01A84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72" w:firstLineChars="200"/>
        <w:textAlignment w:val="baseline"/>
        <w:rPr>
          <w:color w:val="auto"/>
          <w:spacing w:val="-2"/>
          <w:highlight w:val="none"/>
        </w:rPr>
      </w:pPr>
    </w:p>
    <w:p w14:paraId="6185708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72" w:firstLineChars="200"/>
        <w:textAlignment w:val="baseline"/>
        <w:rPr>
          <w:color w:val="auto"/>
          <w:spacing w:val="-2"/>
          <w:highlight w:val="none"/>
        </w:rPr>
      </w:pPr>
    </w:p>
    <w:p w14:paraId="5AC412A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72" w:firstLineChars="200"/>
        <w:textAlignment w:val="baseline"/>
        <w:rPr>
          <w:color w:val="auto"/>
          <w:spacing w:val="-2"/>
          <w:highlight w:val="none"/>
        </w:rPr>
      </w:pPr>
    </w:p>
    <w:p w14:paraId="6BBFBDC1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72" w:firstLineChars="200"/>
        <w:textAlignment w:val="baseline"/>
        <w:rPr>
          <w:color w:val="auto"/>
          <w:spacing w:val="-2"/>
          <w:highlight w:val="none"/>
        </w:rPr>
      </w:pPr>
    </w:p>
    <w:p w14:paraId="25704020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72" w:firstLineChars="200"/>
        <w:textAlignment w:val="baseline"/>
        <w:rPr>
          <w:color w:val="auto"/>
          <w:spacing w:val="-2"/>
          <w:highlight w:val="none"/>
        </w:rPr>
      </w:pPr>
    </w:p>
    <w:p w14:paraId="717ADCA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 w:firstLine="472" w:firstLineChars="200"/>
        <w:textAlignment w:val="baseline"/>
        <w:rPr>
          <w:color w:val="auto"/>
          <w:spacing w:val="-2"/>
          <w:highlight w:val="none"/>
        </w:rPr>
      </w:pPr>
    </w:p>
    <w:p w14:paraId="6EDAA89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480" w:firstLineChars="200"/>
        <w:textAlignment w:val="baseline"/>
        <w:rPr>
          <w:rFonts w:hint="eastAsia" w:ascii="微软雅黑" w:hAnsi="微软雅黑" w:eastAsia="微软雅黑" w:cs="微软雅黑"/>
          <w:color w:val="auto"/>
          <w:sz w:val="24"/>
          <w:szCs w:val="24"/>
          <w:highlight w:val="none"/>
          <w:lang w:val="en-US" w:eastAsia="zh-CN"/>
        </w:rPr>
      </w:pPr>
    </w:p>
    <w:sectPr>
      <w:pgSz w:w="11906" w:h="16839"/>
      <w:pgMar w:top="1429" w:right="1559" w:bottom="1417" w:left="1786" w:header="0" w:footer="0" w:gutter="0"/>
      <w:cols w:space="0" w:num="1"/>
      <w:rtlGutter w:val="0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9AC37E"/>
    <w:multiLevelType w:val="singleLevel"/>
    <w:tmpl w:val="949AC37E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BC1679EE"/>
    <w:multiLevelType w:val="singleLevel"/>
    <w:tmpl w:val="BC1679EE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M2M4ZTI1MDEzZjFjNjJlYzI2OGU0YWViM2M0MWM5MzMifQ=="/>
  </w:docVars>
  <w:rsids>
    <w:rsidRoot w:val="00000000"/>
    <w:rsid w:val="00410355"/>
    <w:rsid w:val="01326485"/>
    <w:rsid w:val="01BE7323"/>
    <w:rsid w:val="02272FC2"/>
    <w:rsid w:val="02691984"/>
    <w:rsid w:val="02A4476B"/>
    <w:rsid w:val="032D650E"/>
    <w:rsid w:val="039447DF"/>
    <w:rsid w:val="04310280"/>
    <w:rsid w:val="04340ADE"/>
    <w:rsid w:val="04473600"/>
    <w:rsid w:val="048605CC"/>
    <w:rsid w:val="04BA2023"/>
    <w:rsid w:val="04E81A9D"/>
    <w:rsid w:val="055204AE"/>
    <w:rsid w:val="060F639F"/>
    <w:rsid w:val="0627193B"/>
    <w:rsid w:val="068E5516"/>
    <w:rsid w:val="073F2CB4"/>
    <w:rsid w:val="07427DD5"/>
    <w:rsid w:val="07771BA3"/>
    <w:rsid w:val="07A25421"/>
    <w:rsid w:val="087D3A94"/>
    <w:rsid w:val="09E244F6"/>
    <w:rsid w:val="0A5922DF"/>
    <w:rsid w:val="0AEA7794"/>
    <w:rsid w:val="0B494101"/>
    <w:rsid w:val="0B92035F"/>
    <w:rsid w:val="0C1B5A9E"/>
    <w:rsid w:val="0DD90C79"/>
    <w:rsid w:val="0EC95FCB"/>
    <w:rsid w:val="10084372"/>
    <w:rsid w:val="10A271C6"/>
    <w:rsid w:val="10D13141"/>
    <w:rsid w:val="10E513FB"/>
    <w:rsid w:val="114B700C"/>
    <w:rsid w:val="11563097"/>
    <w:rsid w:val="11E76422"/>
    <w:rsid w:val="11E9219A"/>
    <w:rsid w:val="1222745A"/>
    <w:rsid w:val="12AF0CEE"/>
    <w:rsid w:val="12DE15D3"/>
    <w:rsid w:val="13076D7C"/>
    <w:rsid w:val="1367781A"/>
    <w:rsid w:val="13804C02"/>
    <w:rsid w:val="13EE3521"/>
    <w:rsid w:val="140137CB"/>
    <w:rsid w:val="14357918"/>
    <w:rsid w:val="151C63E2"/>
    <w:rsid w:val="15632263"/>
    <w:rsid w:val="16C83453"/>
    <w:rsid w:val="16F70EB5"/>
    <w:rsid w:val="1726179A"/>
    <w:rsid w:val="18C27029"/>
    <w:rsid w:val="19157D18"/>
    <w:rsid w:val="194D74B2"/>
    <w:rsid w:val="197E141A"/>
    <w:rsid w:val="19882298"/>
    <w:rsid w:val="19977715"/>
    <w:rsid w:val="19B83F83"/>
    <w:rsid w:val="1A4A39F2"/>
    <w:rsid w:val="1A534654"/>
    <w:rsid w:val="1BC03F6C"/>
    <w:rsid w:val="1BDB0DA5"/>
    <w:rsid w:val="1CA27B15"/>
    <w:rsid w:val="1DDB508D"/>
    <w:rsid w:val="1F7A6B27"/>
    <w:rsid w:val="20384A18"/>
    <w:rsid w:val="203B1E13"/>
    <w:rsid w:val="2110329F"/>
    <w:rsid w:val="21221E11"/>
    <w:rsid w:val="22340B9C"/>
    <w:rsid w:val="2288155B"/>
    <w:rsid w:val="228D7161"/>
    <w:rsid w:val="22CA56D0"/>
    <w:rsid w:val="22FD7853"/>
    <w:rsid w:val="230E380E"/>
    <w:rsid w:val="23104268"/>
    <w:rsid w:val="23757D31"/>
    <w:rsid w:val="24A04BE0"/>
    <w:rsid w:val="253D38FD"/>
    <w:rsid w:val="25E76599"/>
    <w:rsid w:val="260D5FFF"/>
    <w:rsid w:val="26263565"/>
    <w:rsid w:val="26F63EAF"/>
    <w:rsid w:val="277327DA"/>
    <w:rsid w:val="28074CD0"/>
    <w:rsid w:val="28862099"/>
    <w:rsid w:val="289A5B44"/>
    <w:rsid w:val="28C3716F"/>
    <w:rsid w:val="295B3526"/>
    <w:rsid w:val="298A3E0B"/>
    <w:rsid w:val="29BA46F0"/>
    <w:rsid w:val="2A1C7474"/>
    <w:rsid w:val="2A8E16D9"/>
    <w:rsid w:val="2A952A67"/>
    <w:rsid w:val="2ADE7F6A"/>
    <w:rsid w:val="2B060AD0"/>
    <w:rsid w:val="2BBA25F3"/>
    <w:rsid w:val="2BEE68D3"/>
    <w:rsid w:val="2D3C366E"/>
    <w:rsid w:val="2D485B6F"/>
    <w:rsid w:val="2D572256"/>
    <w:rsid w:val="2D6D3827"/>
    <w:rsid w:val="2F120B2A"/>
    <w:rsid w:val="2F435AAF"/>
    <w:rsid w:val="2FB835DA"/>
    <w:rsid w:val="30EB33E1"/>
    <w:rsid w:val="31DE6AA2"/>
    <w:rsid w:val="324A05DB"/>
    <w:rsid w:val="326E6078"/>
    <w:rsid w:val="32780CA4"/>
    <w:rsid w:val="32C96BDF"/>
    <w:rsid w:val="33792F26"/>
    <w:rsid w:val="34757B91"/>
    <w:rsid w:val="34767465"/>
    <w:rsid w:val="35B2242B"/>
    <w:rsid w:val="35FC7E3E"/>
    <w:rsid w:val="367B6FB5"/>
    <w:rsid w:val="3691327B"/>
    <w:rsid w:val="36DA0180"/>
    <w:rsid w:val="37532D15"/>
    <w:rsid w:val="37E34E12"/>
    <w:rsid w:val="37F92DD8"/>
    <w:rsid w:val="388760E5"/>
    <w:rsid w:val="38A41DEF"/>
    <w:rsid w:val="38CF183A"/>
    <w:rsid w:val="39447B32"/>
    <w:rsid w:val="397877DC"/>
    <w:rsid w:val="39DD25FD"/>
    <w:rsid w:val="39EB6200"/>
    <w:rsid w:val="39F01A68"/>
    <w:rsid w:val="3A0A7CB4"/>
    <w:rsid w:val="3A4A561C"/>
    <w:rsid w:val="3ADF391F"/>
    <w:rsid w:val="3B082DE1"/>
    <w:rsid w:val="3B627CE0"/>
    <w:rsid w:val="3B911029"/>
    <w:rsid w:val="3C094D76"/>
    <w:rsid w:val="3C1322D1"/>
    <w:rsid w:val="3D3A3D03"/>
    <w:rsid w:val="3E4B5E98"/>
    <w:rsid w:val="3E921340"/>
    <w:rsid w:val="3EAA48DB"/>
    <w:rsid w:val="3F2521B4"/>
    <w:rsid w:val="3FB04C0B"/>
    <w:rsid w:val="409969B6"/>
    <w:rsid w:val="40BA692C"/>
    <w:rsid w:val="41562AF9"/>
    <w:rsid w:val="41D34149"/>
    <w:rsid w:val="41DA7286"/>
    <w:rsid w:val="421556B7"/>
    <w:rsid w:val="42E61C5A"/>
    <w:rsid w:val="432E715D"/>
    <w:rsid w:val="43FD0821"/>
    <w:rsid w:val="44D53D34"/>
    <w:rsid w:val="451569E0"/>
    <w:rsid w:val="45366DBD"/>
    <w:rsid w:val="454809AA"/>
    <w:rsid w:val="459B31D0"/>
    <w:rsid w:val="45D13D5A"/>
    <w:rsid w:val="45F11042"/>
    <w:rsid w:val="4674757D"/>
    <w:rsid w:val="4678706D"/>
    <w:rsid w:val="471A6376"/>
    <w:rsid w:val="47863C40"/>
    <w:rsid w:val="48084421"/>
    <w:rsid w:val="480C3F11"/>
    <w:rsid w:val="48BD345D"/>
    <w:rsid w:val="48CA742C"/>
    <w:rsid w:val="48CC18F2"/>
    <w:rsid w:val="49276B29"/>
    <w:rsid w:val="4958390F"/>
    <w:rsid w:val="495E69EE"/>
    <w:rsid w:val="49A5461D"/>
    <w:rsid w:val="49AC4B4B"/>
    <w:rsid w:val="4A6A3171"/>
    <w:rsid w:val="4ABF34BD"/>
    <w:rsid w:val="4BB6037C"/>
    <w:rsid w:val="4BEA27BB"/>
    <w:rsid w:val="4CAC5CC3"/>
    <w:rsid w:val="4CDF1BF4"/>
    <w:rsid w:val="4D3B0DF4"/>
    <w:rsid w:val="4D9549A9"/>
    <w:rsid w:val="4DC01D48"/>
    <w:rsid w:val="4DFE60AA"/>
    <w:rsid w:val="4E8958E1"/>
    <w:rsid w:val="4EC8490A"/>
    <w:rsid w:val="4EE71234"/>
    <w:rsid w:val="4F5D5052"/>
    <w:rsid w:val="4FA17635"/>
    <w:rsid w:val="4FE65048"/>
    <w:rsid w:val="50357D7D"/>
    <w:rsid w:val="508807F5"/>
    <w:rsid w:val="50A64873"/>
    <w:rsid w:val="50D13F4A"/>
    <w:rsid w:val="51414279"/>
    <w:rsid w:val="52514CDC"/>
    <w:rsid w:val="52522047"/>
    <w:rsid w:val="527252B8"/>
    <w:rsid w:val="52F201A7"/>
    <w:rsid w:val="53450CA7"/>
    <w:rsid w:val="53E421E6"/>
    <w:rsid w:val="545F186C"/>
    <w:rsid w:val="54C73281"/>
    <w:rsid w:val="55D94301"/>
    <w:rsid w:val="55FE1AC5"/>
    <w:rsid w:val="56004989"/>
    <w:rsid w:val="5637484F"/>
    <w:rsid w:val="565076BF"/>
    <w:rsid w:val="56D55F97"/>
    <w:rsid w:val="57134566"/>
    <w:rsid w:val="57E26A3C"/>
    <w:rsid w:val="581B12A7"/>
    <w:rsid w:val="58531322"/>
    <w:rsid w:val="59734D3C"/>
    <w:rsid w:val="59DE1BD2"/>
    <w:rsid w:val="5A167085"/>
    <w:rsid w:val="5A76346C"/>
    <w:rsid w:val="5AFA766A"/>
    <w:rsid w:val="5B4F43E9"/>
    <w:rsid w:val="5BA109BC"/>
    <w:rsid w:val="5C531CB7"/>
    <w:rsid w:val="5CBD02F6"/>
    <w:rsid w:val="5CEB1EEF"/>
    <w:rsid w:val="5D295176"/>
    <w:rsid w:val="5D2C47C9"/>
    <w:rsid w:val="5D2D60A2"/>
    <w:rsid w:val="5F1B6FF3"/>
    <w:rsid w:val="60854409"/>
    <w:rsid w:val="60F65306"/>
    <w:rsid w:val="612C2AD6"/>
    <w:rsid w:val="61700C15"/>
    <w:rsid w:val="6178274A"/>
    <w:rsid w:val="61860438"/>
    <w:rsid w:val="62013F63"/>
    <w:rsid w:val="62157A0E"/>
    <w:rsid w:val="62B72874"/>
    <w:rsid w:val="63C45248"/>
    <w:rsid w:val="63D57455"/>
    <w:rsid w:val="652266CA"/>
    <w:rsid w:val="65423A97"/>
    <w:rsid w:val="658E5B0E"/>
    <w:rsid w:val="65C17780"/>
    <w:rsid w:val="65E65A70"/>
    <w:rsid w:val="66081D64"/>
    <w:rsid w:val="664D227D"/>
    <w:rsid w:val="67273838"/>
    <w:rsid w:val="67995F3C"/>
    <w:rsid w:val="67C12AFD"/>
    <w:rsid w:val="6813679E"/>
    <w:rsid w:val="68B41D2F"/>
    <w:rsid w:val="68BC5088"/>
    <w:rsid w:val="69903046"/>
    <w:rsid w:val="6A3C1FDC"/>
    <w:rsid w:val="6A8A2CF8"/>
    <w:rsid w:val="6AF91C7B"/>
    <w:rsid w:val="6B23052E"/>
    <w:rsid w:val="6B333EFC"/>
    <w:rsid w:val="6B572E46"/>
    <w:rsid w:val="6B8C7363"/>
    <w:rsid w:val="6BC6285B"/>
    <w:rsid w:val="6C0C3C30"/>
    <w:rsid w:val="6C445178"/>
    <w:rsid w:val="6C4C04D0"/>
    <w:rsid w:val="6C807537"/>
    <w:rsid w:val="6C88775B"/>
    <w:rsid w:val="6CF03552"/>
    <w:rsid w:val="6D156B14"/>
    <w:rsid w:val="6D3C6797"/>
    <w:rsid w:val="6E095948"/>
    <w:rsid w:val="6E7D7067"/>
    <w:rsid w:val="6EAB3BD4"/>
    <w:rsid w:val="6EEB3FD1"/>
    <w:rsid w:val="6F1E7F02"/>
    <w:rsid w:val="6F885CC3"/>
    <w:rsid w:val="6FAF14A2"/>
    <w:rsid w:val="70871064"/>
    <w:rsid w:val="70D94662"/>
    <w:rsid w:val="71E00EF2"/>
    <w:rsid w:val="71F17B50"/>
    <w:rsid w:val="737F1166"/>
    <w:rsid w:val="741E2752"/>
    <w:rsid w:val="74FF415D"/>
    <w:rsid w:val="752B15CB"/>
    <w:rsid w:val="75502DDF"/>
    <w:rsid w:val="75F75951"/>
    <w:rsid w:val="768371E5"/>
    <w:rsid w:val="76EF6628"/>
    <w:rsid w:val="77C41863"/>
    <w:rsid w:val="7803238B"/>
    <w:rsid w:val="785C021E"/>
    <w:rsid w:val="788C2381"/>
    <w:rsid w:val="7C2B1EB0"/>
    <w:rsid w:val="7C4F3F13"/>
    <w:rsid w:val="7CE16A13"/>
    <w:rsid w:val="7CE64878"/>
    <w:rsid w:val="7D87580C"/>
    <w:rsid w:val="7DFE4AB4"/>
    <w:rsid w:val="7EB51F05"/>
    <w:rsid w:val="7F467A84"/>
    <w:rsid w:val="7F8F6BFA"/>
    <w:rsid w:val="7F98785D"/>
    <w:rsid w:val="7FBF777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next w:val="1"/>
    <w:autoRedefine/>
    <w:qFormat/>
    <w:uiPriority w:val="9"/>
    <w:pPr>
      <w:keepNext/>
      <w:keepLines/>
      <w:spacing w:after="114" w:line="259" w:lineRule="auto"/>
      <w:ind w:left="627" w:hanging="10"/>
      <w:outlineLvl w:val="0"/>
    </w:pPr>
    <w:rPr>
      <w:rFonts w:ascii="Microsoft YaHei UI" w:hAnsi="Microsoft YaHei UI" w:eastAsia="Microsoft YaHei UI" w:cs="Microsoft YaHei UI"/>
      <w:b/>
      <w:color w:val="000000"/>
      <w:kern w:val="2"/>
      <w:sz w:val="24"/>
      <w:szCs w:val="22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paragraph" w:styleId="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customStyle="1" w:styleId="7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8">
    <w:name w:val="TableGrid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5</Pages>
  <Words>2628</Words>
  <Characters>2795</Characters>
  <TotalTime>439</TotalTime>
  <ScaleCrop>false</ScaleCrop>
  <LinksUpToDate>false</LinksUpToDate>
  <CharactersWithSpaces>2870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2023-12-20T08:18:00Z</dcterms:created>
  <dc:creator>noider</dc:creator>
  <cp:lastModifiedBy>HLJ</cp:lastModifiedBy>
  <dcterms:modified xsi:type="dcterms:W3CDTF">2024-11-27T14:18:07Z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2023-12-25T22:23:21Z</vt:filetime>
  </property>
  <property fmtid="{D5CDD505-2E9C-101B-9397-08002B2CF9AE}" pid="4" name="KSOProductBuildVer">
    <vt:lpwstr>2052-12.1.0.18912</vt:lpwstr>
  </property>
  <property fmtid="{D5CDD505-2E9C-101B-9397-08002B2CF9AE}" pid="5" name="ICV">
    <vt:lpwstr>8C7D44E032774ADFA154C3832F8B6426_13</vt:lpwstr>
  </property>
</Properties>
</file>